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Housing and Building Association of Colorado Springs</w:t>
      </w:r>
    </w:p>
    <w:p w:rsidR="00000000" w:rsidDel="00000000" w:rsidP="00000000" w:rsidRDefault="00000000" w:rsidRPr="00000000" w14:paraId="00000002">
      <w:pPr>
        <w:spacing w:line="240" w:lineRule="auto"/>
        <w:rPr>
          <w:sz w:val="23"/>
          <w:szCs w:val="23"/>
        </w:rPr>
      </w:pPr>
      <w:r w:rsidDel="00000000" w:rsidR="00000000" w:rsidRPr="00000000">
        <w:rPr>
          <w:sz w:val="23"/>
          <w:szCs w:val="23"/>
          <w:rtl w:val="0"/>
        </w:rPr>
        <w:t xml:space="preserve">“The Workforce Committee provides a forum to promote leadership, innovation, collaboration, and information sharing among construction industry professionals at all levels. Committee members identify specialized programs and services in the areas of talent acquisition and development, labor and employee relations, and education and career awareness to build the support needed to make the construction industry successful.”</w:t>
      </w:r>
    </w:p>
    <w:p w:rsidR="00000000" w:rsidDel="00000000" w:rsidP="00000000" w:rsidRDefault="00000000" w:rsidRPr="00000000" w14:paraId="00000003">
      <w:pPr>
        <w:spacing w:line="240" w:lineRule="auto"/>
        <w:rPr>
          <w:sz w:val="27"/>
          <w:szCs w:val="27"/>
        </w:rPr>
      </w:pPr>
      <w:r w:rsidDel="00000000" w:rsidR="00000000" w:rsidRPr="00000000">
        <w:rPr>
          <w:rtl w:val="0"/>
        </w:rPr>
      </w:r>
    </w:p>
    <w:p w:rsidR="00000000" w:rsidDel="00000000" w:rsidP="00000000" w:rsidRDefault="00000000" w:rsidRPr="00000000" w14:paraId="00000004">
      <w:pPr>
        <w:spacing w:line="240" w:lineRule="auto"/>
        <w:rPr>
          <w:sz w:val="27"/>
          <w:szCs w:val="27"/>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Building Industry Association of Washington</w:t>
      </w:r>
    </w:p>
    <w:p w:rsidR="00000000" w:rsidDel="00000000" w:rsidP="00000000" w:rsidRDefault="00000000" w:rsidRPr="00000000" w14:paraId="00000006">
      <w:pPr>
        <w:rPr/>
      </w:pPr>
      <w:r w:rsidDel="00000000" w:rsidR="00000000" w:rsidRPr="00000000">
        <w:rPr>
          <w:rtl w:val="0"/>
        </w:rPr>
        <w:t xml:space="preserve">“</w:t>
      </w:r>
      <w:r w:rsidDel="00000000" w:rsidR="00000000" w:rsidRPr="00000000">
        <w:rPr>
          <w:rtl w:val="0"/>
        </w:rPr>
        <w:t xml:space="preserve">The purpose and objectives of the Workforce Development Task Force are to support BIAW’s strategic plan by regularly discussing existing and new programs, reviewing potential partnership opportunities, and providing a platform for sharing local association undertakings to address construction labor shortages.”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HBA of the Upper Peninsula, MI</w:t>
      </w:r>
    </w:p>
    <w:p w:rsidR="00000000" w:rsidDel="00000000" w:rsidP="00000000" w:rsidRDefault="00000000" w:rsidRPr="00000000" w14:paraId="00000009">
      <w:pPr>
        <w:rPr/>
      </w:pPr>
      <w:r w:rsidDel="00000000" w:rsidR="00000000" w:rsidRPr="00000000">
        <w:rPr>
          <w:rtl w:val="0"/>
        </w:rPr>
        <w:t xml:space="preserve">“</w:t>
      </w:r>
      <w:r w:rsidDel="00000000" w:rsidR="00000000" w:rsidRPr="00000000">
        <w:rPr>
          <w:rtl w:val="0"/>
        </w:rPr>
        <w:t xml:space="preserve">The Career and Technical Education Committee was formed to support post-secondary vocational programs and provide the skilled workforce needed to support the regional economy.  Our main focus is on helping young people make the best possible career decisions before they leave high school.”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hd w:fill="ffffff" w:val="clear"/>
        <w:spacing w:after="120" w:line="254.40054545454544" w:lineRule="auto"/>
        <w:ind w:left="0" w:firstLine="0"/>
        <w:jc w:val="both"/>
        <w:rPr>
          <w:rFonts w:ascii="Calibri" w:cs="Calibri" w:eastAsia="Calibri" w:hAnsi="Calibri"/>
          <w:color w:val="222222"/>
          <w:sz w:val="26"/>
          <w:szCs w:val="26"/>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